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52"/>
        <w:gridCol w:w="2310"/>
        <w:gridCol w:w="2160"/>
        <w:gridCol w:w="1908"/>
        <w:gridCol w:w="2798"/>
        <w:gridCol w:w="910"/>
        <w:gridCol w:w="1250"/>
        <w:gridCol w:w="122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  <w:highlight w:val="none"/>
              </w:rPr>
            </w:pPr>
            <w:bookmarkStart w:id="1" w:name="_GoBack"/>
            <w:bookmarkStart w:id="0" w:name="RANGE!A2:I24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  <w:highlight w:val="none"/>
              </w:rPr>
              <w:t>项目支出绩效自评表</w:t>
            </w:r>
            <w:bookmarkEnd w:id="0"/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（2022年度）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4432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双高建设-工程测量技术专业群-智能建造技术工程中心建设（滚动）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225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119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北京工业职业技术学院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225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李石磊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119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13810232196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项目资金（万元）</w:t>
            </w: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年初预算数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全年预算数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全年执行数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  26.800000 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26.800000 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        26.800000 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100.00%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10.00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其中：当年财政拨款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  26.800000 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26.800000 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        26.800000 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100.00%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258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218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58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建成智能建造技术规程中心1个，满足规程测量技术专业群理实教学需要和创新研发、生产服务及国内外培训的需求。</w:t>
            </w:r>
          </w:p>
        </w:tc>
        <w:tc>
          <w:tcPr>
            <w:tcW w:w="218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建成智能建造技术规程中心1个，满足规程测量技术专业群理实教学需要和创新研发、生产服务及国内外培训的需求。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绩效指标</w:t>
            </w:r>
          </w:p>
        </w:tc>
        <w:tc>
          <w:tcPr>
            <w:tcW w:w="3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年度指标值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实际完成值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智慧工地教学区、智慧工地实践区、智慧工地展示区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3套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完成智慧工地教学区、智慧工地实践区、智慧工地展示区3套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教育教学、技术服务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圆满完成教育教学、技术服务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时间节点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所有任务均按照预计计划进行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总经费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≤26.8万元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总支出26.8万元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经济效益指标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每年为高校教师、企业开展技术服务和培训，产生经济收益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5万元/年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</w:rPr>
              <w:t>疫情因素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社会效益指标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1.提高工程测量技术专业群实践教学能力水平，促进教学模式改革，满足每年120个学生提升智能建造专业能力等方面的需求；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2.保障建筑施工技术、认识实习等教学工作正常运转；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10000人/学时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</w:rPr>
              <w:t>原申报资料中未体现此目标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建立了可持续发展机制，项目建设内容在未来十年保持全国领先水平，具有很强的持久性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10年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建立了可持续发展机制，项目建设内容在未来十年保持全国领先水平，具有很强的持久性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无</w:t>
            </w:r>
          </w:p>
        </w:tc>
      </w:tr>
      <w:tr>
        <w:tblPrEx>
          <w:shd w:val="clear" w:color="auto" w:fill="auto"/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满意度指标</w:t>
            </w:r>
          </w:p>
        </w:tc>
        <w:tc>
          <w:tcPr>
            <w:tcW w:w="8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学生服务满意度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学生服务满意度达到90%以上，圆满完成预计目标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目标设置较低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社会服务满意度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9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社会服务满意度达到90%以上，圆满完成预计目标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目标设置较低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0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 xml:space="preserve">84.00 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　</w:t>
            </w:r>
          </w:p>
        </w:tc>
      </w:tr>
      <w:bookmarkEnd w:id="1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RkOWY3YTQ5MDBkOWE4NzIwYjg3ZGI5YTZhNjFlMjUifQ=="/>
  </w:docVars>
  <w:rsids>
    <w:rsidRoot w:val="00C40C61"/>
    <w:rsid w:val="002D39BE"/>
    <w:rsid w:val="008040E9"/>
    <w:rsid w:val="00A57667"/>
    <w:rsid w:val="00C40C61"/>
    <w:rsid w:val="00C758C3"/>
    <w:rsid w:val="00DE5970"/>
    <w:rsid w:val="25E0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791</Words>
  <Characters>919</Characters>
  <Lines>8</Lines>
  <Paragraphs>2</Paragraphs>
  <TotalTime>5</TotalTime>
  <ScaleCrop>false</ScaleCrop>
  <LinksUpToDate>false</LinksUpToDate>
  <CharactersWithSpaces>1002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2023-05-10T05:52:00Z</dcterms:created>
  <dc:creator>雪</dc:creator>
  <cp:lastModifiedBy>咖啡杯里的茶 </cp:lastModifiedBy>
  <dcterms:modified xsi:type="dcterms:W3CDTF">2023-06-07T10:06:03Z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7AD4E317561D46E8BE41CBCFC6DBE2B5_12</vt:lpwstr>
  </property>
</Properties>
</file>